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39" w:rsidRDefault="008C1748" w:rsidP="00F832EB">
      <w:pPr>
        <w:pStyle w:val="Default"/>
        <w:jc w:val="center"/>
        <w:rPr>
          <w:rFonts w:ascii="Arial" w:hAnsi="Arial" w:cs="Arial"/>
          <w:b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Algunos interrogantes en relación con la reciente Sentencia dictada por el Tribunal de </w:t>
      </w:r>
      <w:r w:rsidR="007F5AEE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Justicia de </w:t>
      </w:r>
      <w:r>
        <w:rPr>
          <w:rFonts w:ascii="Arial" w:hAnsi="Arial" w:cs="Arial"/>
          <w:b/>
          <w:color w:val="000000"/>
          <w:sz w:val="32"/>
          <w:szCs w:val="32"/>
          <w:lang w:val="es-ES"/>
        </w:rPr>
        <w:t>la Unión Europea contra FACEBOOK</w:t>
      </w:r>
    </w:p>
    <w:p w:rsidR="0021737C" w:rsidRDefault="0021737C" w:rsidP="0021737C">
      <w:pPr>
        <w:pStyle w:val="Default"/>
        <w:jc w:val="both"/>
        <w:rPr>
          <w:rFonts w:ascii="Arial" w:hAnsi="Arial" w:cs="Arial"/>
          <w:b/>
          <w:color w:val="000000"/>
          <w:sz w:val="32"/>
          <w:szCs w:val="32"/>
          <w:lang w:val="es-ES"/>
        </w:rPr>
      </w:pPr>
    </w:p>
    <w:p w:rsidR="0021737C" w:rsidRPr="0021737C" w:rsidRDefault="0021737C" w:rsidP="0021737C">
      <w:pPr>
        <w:pStyle w:val="Default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21737C">
        <w:rPr>
          <w:rFonts w:ascii="Arial" w:hAnsi="Arial" w:cs="Arial"/>
          <w:color w:val="000000"/>
          <w:sz w:val="24"/>
          <w:szCs w:val="24"/>
          <w:lang w:val="es-ES"/>
        </w:rPr>
        <w:t xml:space="preserve">Una Sentencia del Tribunal de Justicia de la Unión Europea,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de fecha de 6 de octubre de 2015, </w:t>
      </w:r>
      <w:r w:rsidRPr="0021737C">
        <w:rPr>
          <w:rFonts w:ascii="Arial" w:hAnsi="Arial" w:cs="Arial"/>
          <w:color w:val="000000"/>
          <w:sz w:val="24"/>
          <w:szCs w:val="24"/>
          <w:lang w:val="es-ES"/>
        </w:rPr>
        <w:t>abre la puerta para que las agencias nacionales de protección de datos de los estados miembros, puedan suspender el envío de datos personales de ciudadanos europeos a los EEUU</w:t>
      </w:r>
    </w:p>
    <w:p w:rsidR="00062BD7" w:rsidRDefault="00062BD7" w:rsidP="00062BD7">
      <w:pPr>
        <w:pStyle w:val="Default"/>
        <w:jc w:val="both"/>
        <w:rPr>
          <w:rFonts w:ascii="Arial" w:hAnsi="Arial" w:cs="Arial"/>
          <w:lang w:val="es-ES"/>
        </w:rPr>
      </w:pPr>
    </w:p>
    <w:p w:rsidR="0021737C" w:rsidRPr="007C5A47" w:rsidRDefault="0021737C" w:rsidP="00062BD7">
      <w:pPr>
        <w:pStyle w:val="Default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7C5A47">
        <w:rPr>
          <w:rFonts w:ascii="Arial" w:hAnsi="Arial" w:cs="Arial"/>
          <w:b/>
          <w:sz w:val="28"/>
          <w:szCs w:val="28"/>
          <w:lang w:val="es-ES"/>
        </w:rPr>
        <w:t>La conclusión de este Tribunal es que Estados Unidos no es un lugar tan seguro para los datos de los europeos</w:t>
      </w:r>
      <w:r w:rsidR="007C5A47" w:rsidRPr="007C5A47">
        <w:rPr>
          <w:rFonts w:ascii="Arial" w:hAnsi="Arial" w:cs="Arial"/>
          <w:b/>
          <w:sz w:val="28"/>
          <w:szCs w:val="28"/>
          <w:lang w:val="es-ES"/>
        </w:rPr>
        <w:t>,</w:t>
      </w:r>
      <w:r w:rsidRPr="007C5A47">
        <w:rPr>
          <w:rFonts w:ascii="Arial" w:hAnsi="Arial" w:cs="Arial"/>
          <w:b/>
          <w:sz w:val="28"/>
          <w:szCs w:val="28"/>
          <w:lang w:val="es-ES"/>
        </w:rPr>
        <w:t xml:space="preserve"> como indicaba el nombre del convenio transatlá</w:t>
      </w:r>
      <w:r w:rsidR="007C5A47" w:rsidRPr="007C5A47">
        <w:rPr>
          <w:rFonts w:ascii="Arial" w:hAnsi="Arial" w:cs="Arial"/>
          <w:b/>
          <w:sz w:val="28"/>
          <w:szCs w:val="28"/>
          <w:lang w:val="es-ES"/>
        </w:rPr>
        <w:t>n</w:t>
      </w:r>
      <w:r w:rsidRPr="007C5A47">
        <w:rPr>
          <w:rFonts w:ascii="Arial" w:hAnsi="Arial" w:cs="Arial"/>
          <w:b/>
          <w:sz w:val="28"/>
          <w:szCs w:val="28"/>
          <w:lang w:val="es-ES"/>
        </w:rPr>
        <w:t>tico que ahora se anula (SAFE HARBOUR)</w:t>
      </w:r>
    </w:p>
    <w:p w:rsidR="0021737C" w:rsidRDefault="0021737C" w:rsidP="00062BD7">
      <w:pPr>
        <w:pStyle w:val="Default"/>
        <w:jc w:val="both"/>
        <w:rPr>
          <w:rFonts w:ascii="Arial" w:hAnsi="Arial" w:cs="Arial"/>
          <w:lang w:val="es-ES"/>
        </w:rPr>
      </w:pPr>
    </w:p>
    <w:p w:rsidR="00110E1C" w:rsidRPr="007F5AEE" w:rsidRDefault="00110E1C" w:rsidP="0019293D">
      <w:pPr>
        <w:pStyle w:val="Default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¿</w:t>
      </w:r>
      <w:r w:rsidR="008C1748"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Por qué se ha dictado esta sentencia? </w:t>
      </w:r>
    </w:p>
    <w:p w:rsidR="008C1748" w:rsidRDefault="008C1748" w:rsidP="0019293D">
      <w:pPr>
        <w:pStyle w:val="Defaul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98786E" w:rsidRPr="007C5A47" w:rsidRDefault="0098786E" w:rsidP="008C1748">
      <w:pPr>
        <w:pStyle w:val="Default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Todo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empezó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con la denuncia del ciudadano austriaco</w:t>
      </w:r>
      <w:r w:rsidR="007F5AEE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,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Maximilian</w:t>
      </w:r>
      <w:proofErr w:type="spellEnd"/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Schrems</w:t>
      </w:r>
      <w:proofErr w:type="spellEnd"/>
      <w:r w:rsidR="007F5AEE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,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contra la red social, en la que pedía detener la</w:t>
      </w:r>
      <w:r w:rsidRPr="007C5A4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 </w:t>
      </w:r>
      <w:r w:rsidRPr="007C5A47">
        <w:rPr>
          <w:rStyle w:val="Textoennegrita"/>
          <w:rFonts w:ascii="Arial" w:hAnsi="Arial" w:cs="Arial"/>
          <w:color w:val="000000"/>
          <w:sz w:val="28"/>
          <w:szCs w:val="28"/>
          <w:bdr w:val="none" w:sz="0" w:space="0" w:color="auto" w:frame="1"/>
          <w:lang w:val="es-ES"/>
        </w:rPr>
        <w:t>transferencia de datos personales</w:t>
      </w:r>
      <w:r w:rsidRPr="007C5A4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 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desde Europa a</w:t>
      </w:r>
      <w:r w:rsidRPr="007C5A4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 </w:t>
      </w:r>
      <w:r w:rsidRPr="007C5A47">
        <w:rPr>
          <w:rStyle w:val="Textoennegrita"/>
          <w:rFonts w:ascii="Arial" w:hAnsi="Arial" w:cs="Arial"/>
          <w:color w:val="000000"/>
          <w:sz w:val="28"/>
          <w:szCs w:val="28"/>
          <w:bdr w:val="none" w:sz="0" w:space="0" w:color="auto" w:frame="1"/>
          <w:lang w:val="es-ES"/>
        </w:rPr>
        <w:t>EEUU</w:t>
      </w:r>
      <w:r w:rsidRPr="007C5A4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,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al entender que no se ofrecían garantías suficientes conforme a las exigencias europeas en esta materia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.</w:t>
      </w:r>
    </w:p>
    <w:p w:rsidR="0098786E" w:rsidRDefault="0098786E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 w:rsidRPr="0098786E">
        <w:rPr>
          <w:rFonts w:ascii="Arial" w:hAnsi="Arial" w:cs="Arial"/>
          <w:color w:val="000000"/>
          <w:sz w:val="15"/>
          <w:szCs w:val="15"/>
          <w:bdr w:val="none" w:sz="0" w:space="0" w:color="auto" w:frame="1"/>
          <w:lang w:val="es-ES"/>
        </w:rPr>
        <w:br/>
      </w:r>
    </w:p>
    <w:p w:rsidR="0098786E" w:rsidRDefault="008C1748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El Sr.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Maximillian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Schrems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, ciudadano austriaco, es usuario de Facebook desde 2008. Como ocurre con los demás usuarios que residen en la UE, los datos proporcionados por el Sr.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Schrems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a Facebook se transfieren total o parcialmente de la filial irlandesa de dicha red social a servidores situados en territorio de los Estados Unidos, donde son objeto de tratamiento. </w:t>
      </w:r>
    </w:p>
    <w:p w:rsidR="0098786E" w:rsidRDefault="0098786E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</w:p>
    <w:p w:rsidR="008C1748" w:rsidRDefault="008C1748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El Sr.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Schrems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presentó una denuncia ante la autoridad irlandesa de control</w:t>
      </w:r>
      <w:r w:rsidR="00AA22D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(puesto que Facebook tiene su sede europea en Irlanda)</w:t>
      </w:r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, considerando que, a la luz de las revelaciones realizadas en 2013 por el Sr. Edward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Snowden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en relación con las actividades de los servicios de información de Estados Unidos (en particular, la </w:t>
      </w:r>
      <w:proofErr w:type="spellStart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National</w:t>
      </w:r>
      <w:proofErr w:type="spellEnd"/>
      <w:r w:rsidRPr="008C1748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Security Agency o «NSA»), la normativa y la práctica de Estados Unidos no garantizaban una protección suficiente de los datos transferidos a ese país frente a las actividades de vigilancia por las autoridades públicas</w:t>
      </w:r>
      <w:r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.</w:t>
      </w:r>
    </w:p>
    <w:p w:rsidR="0098786E" w:rsidRDefault="0098786E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</w:p>
    <w:p w:rsidR="00AA22D8" w:rsidRDefault="00AA22D8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En un primer momento</w:t>
      </w:r>
      <w:r w:rsidR="0098786E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,</w:t>
      </w:r>
      <w:r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las autoridades de protección de datos irlandesas, rechazaron iniciar ninguna investigación, alegando que la Comisión Europea había considerado a EEUU como un “puerto seguro”, un estatus que permite que las empresas envíen a ese país los datos personales de sus usuarios y clientes. </w:t>
      </w:r>
    </w:p>
    <w:p w:rsidR="0098786E" w:rsidRDefault="0098786E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</w:p>
    <w:p w:rsidR="008C1748" w:rsidRPr="0098786E" w:rsidRDefault="0098786E" w:rsidP="0098786E">
      <w:pPr>
        <w:pStyle w:val="Defaul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Entonces, </w:t>
      </w:r>
      <w:proofErr w:type="spellStart"/>
      <w:r w:rsidRPr="0098786E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Schrems</w:t>
      </w:r>
      <w:proofErr w:type="spellEnd"/>
      <w:r w:rsidRPr="0098786E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llevó el caso al Tribunal Supremo</w:t>
      </w:r>
      <w:r w:rsidRPr="0098786E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de Irlanda quien planteó una cuestión pre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judicial frente al Tribunal de Justicia de la Unión E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uropea, cuestión que se resuelve por medio de esta Sentencia que estamos comentando. </w:t>
      </w:r>
    </w:p>
    <w:p w:rsidR="00AA22D8" w:rsidRPr="0098786E" w:rsidRDefault="00AA22D8" w:rsidP="0098786E">
      <w:pPr>
        <w:pStyle w:val="Defaul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s-ES"/>
        </w:rPr>
      </w:pPr>
    </w:p>
    <w:p w:rsidR="00110E1C" w:rsidRPr="007F5AEE" w:rsidRDefault="00110E1C" w:rsidP="0098786E">
      <w:pPr>
        <w:pStyle w:val="Default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¿</w:t>
      </w:r>
      <w:r w:rsidR="008C1748"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Qué normas se aplicaban hasta la fecha </w:t>
      </w:r>
      <w:r w:rsidR="007F5AEE"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de esta sentencia, </w:t>
      </w:r>
      <w:r w:rsidR="008C1748" w:rsidRPr="007F5AE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en materia de transferencia de datos a los Estados Unidos? </w:t>
      </w:r>
    </w:p>
    <w:p w:rsidR="008C1748" w:rsidRDefault="008C1748" w:rsidP="008C1748">
      <w:pPr>
        <w:pStyle w:val="Defaul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09706D" w:rsidRDefault="008C1748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La Directiva </w:t>
      </w:r>
      <w:r w:rsid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europea 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sobre el tratamiento de los datos personales dispone que</w:t>
      </w:r>
      <w:r w:rsid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,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en principio</w:t>
      </w:r>
      <w:r w:rsid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,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sólo se </w:t>
      </w:r>
      <w:proofErr w:type="gramStart"/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pueden</w:t>
      </w:r>
      <w:proofErr w:type="gramEnd"/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transferir dichos datos a un país tercero</w:t>
      </w:r>
      <w:r w:rsid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, es decir, a un país fuera de la Unión Europea, 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si éste garantiza un nivel de protección adecuado de dichos datos. </w:t>
      </w:r>
    </w:p>
    <w:p w:rsidR="007F5AEE" w:rsidRDefault="007F5AEE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</w:p>
    <w:p w:rsidR="0009706D" w:rsidRDefault="008C1748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También</w:t>
      </w:r>
      <w:r w:rsid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,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conforme a la Directiva, la Comisión puede declarar que un país tercero garantiza un nivel de protección adecuado en razón de su legislación interna o de sus compromisos internacionales. </w:t>
      </w:r>
    </w:p>
    <w:p w:rsidR="0009706D" w:rsidRDefault="0009706D" w:rsidP="008C1748">
      <w:pPr>
        <w:pStyle w:val="Default"/>
        <w:jc w:val="both"/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</w:pPr>
    </w:p>
    <w:p w:rsidR="008C1748" w:rsidRPr="0009706D" w:rsidRDefault="008C1748" w:rsidP="008C1748">
      <w:pPr>
        <w:pStyle w:val="Defaul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Por último, la Directiva determina que cada Estado miembro </w:t>
      </w:r>
      <w:proofErr w:type="gramStart"/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debe</w:t>
      </w:r>
      <w:proofErr w:type="gramEnd"/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designar una o varias autoridades públicas encargadas de controlar la aplicación en su territorio de las disposiciones nacionales adoptadas sobre la base de la Directiva (autoridades nacionales de control</w:t>
      </w:r>
      <w:r w:rsidR="007F5AEE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 xml:space="preserve"> –En España, Agencia Española de Protección de Datos, en adelante AEPD</w:t>
      </w:r>
      <w:r w:rsidRPr="0009706D">
        <w:rPr>
          <w:rFonts w:ascii="Arial" w:eastAsiaTheme="minorHAnsi" w:hAnsi="Arial" w:cs="Arial"/>
          <w:color w:val="000000"/>
          <w:kern w:val="0"/>
          <w:sz w:val="24"/>
          <w:szCs w:val="24"/>
          <w:lang w:val="es-ES"/>
        </w:rPr>
        <w:t>).</w:t>
      </w:r>
    </w:p>
    <w:p w:rsidR="008C1748" w:rsidRDefault="008C1748" w:rsidP="0019293D">
      <w:pPr>
        <w:pStyle w:val="Defaul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p w:rsidR="009E661F" w:rsidRPr="007F5AEE" w:rsidRDefault="009E661F" w:rsidP="0019293D">
      <w:pPr>
        <w:pStyle w:val="Default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ES"/>
        </w:rPr>
      </w:pPr>
      <w:r w:rsidRPr="007F5AE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ES"/>
        </w:rPr>
        <w:t>¿</w:t>
      </w:r>
      <w:r w:rsidR="008C1748" w:rsidRPr="007F5AE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ES"/>
        </w:rPr>
        <w:t xml:space="preserve">Qué son los acuerdos de puerto seguro? </w:t>
      </w:r>
    </w:p>
    <w:p w:rsidR="008C1748" w:rsidRDefault="008C1748" w:rsidP="0019293D">
      <w:pPr>
        <w:pStyle w:val="Default"/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es-ES"/>
        </w:rPr>
      </w:pPr>
    </w:p>
    <w:p w:rsidR="0009706D" w:rsidRPr="004D0178" w:rsidRDefault="0009706D" w:rsidP="007F5AEE">
      <w:pPr>
        <w:pStyle w:val="Default"/>
        <w:jc w:val="both"/>
        <w:rPr>
          <w:rFonts w:ascii="Arial" w:eastAsiaTheme="minorHAnsi" w:hAnsi="Arial" w:cs="Arial"/>
          <w:color w:val="000000"/>
          <w:sz w:val="24"/>
          <w:szCs w:val="24"/>
          <w:lang w:val="es-ES"/>
        </w:rPr>
      </w:pPr>
      <w:r w:rsidRPr="004D017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Pues bien, sobre la base de esta regulación, la Comisión Europea, por medi</w:t>
      </w:r>
      <w:r w:rsidR="004D017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o de una Decisión de fecha de 26 de julio de 2000</w:t>
      </w:r>
      <w:r w:rsidRPr="004D0178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, declaró que </w:t>
      </w:r>
      <w:r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 los principios de puerto seguro para la protección de la vida privada y las correspondientes preguntas más frecuentes, publicadas por el Departamento de Comercio de Estados Unidos de América, eran conformes a la normativa europea de protección de datos. </w:t>
      </w:r>
    </w:p>
    <w:p w:rsidR="0009706D" w:rsidRPr="004D0178" w:rsidRDefault="0009706D" w:rsidP="007F5AEE">
      <w:pPr>
        <w:pStyle w:val="Default"/>
        <w:jc w:val="both"/>
        <w:rPr>
          <w:rFonts w:ascii="Arial" w:eastAsiaTheme="minorHAnsi" w:hAnsi="Arial" w:cs="Arial"/>
          <w:color w:val="000000"/>
          <w:sz w:val="24"/>
          <w:szCs w:val="24"/>
          <w:lang w:val="es-ES"/>
        </w:rPr>
      </w:pPr>
    </w:p>
    <w:p w:rsidR="0009706D" w:rsidRDefault="004D0178" w:rsidP="007F5AEE">
      <w:pPr>
        <w:pStyle w:val="Default"/>
        <w:jc w:val="both"/>
        <w:rPr>
          <w:rFonts w:ascii="Arial" w:eastAsiaTheme="minorHAnsi" w:hAnsi="Arial" w:cs="Arial"/>
          <w:color w:val="000000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En base a esta D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ecisión, la </w:t>
      </w:r>
      <w:r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>transferencia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 de datos personales a </w:t>
      </w: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empresa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s </w:t>
      </w: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ubicada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s en territorio estadounidense, </w:t>
      </w: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adherida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s </w:t>
      </w: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a estos principios de pue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>rto seguro, se considera conforme a la legislación europea</w:t>
      </w:r>
      <w:r>
        <w:rPr>
          <w:rFonts w:ascii="Arial" w:eastAsiaTheme="minorHAnsi" w:hAnsi="Arial" w:cs="Arial"/>
          <w:color w:val="000000"/>
          <w:sz w:val="24"/>
          <w:szCs w:val="24"/>
          <w:lang w:val="es-ES"/>
        </w:rPr>
        <w:t>,</w:t>
      </w:r>
      <w:r w:rsidR="0009706D" w:rsidRPr="004D0178">
        <w:rPr>
          <w:rFonts w:ascii="Arial" w:eastAsiaTheme="minorHAnsi" w:hAnsi="Arial" w:cs="Arial"/>
          <w:color w:val="000000"/>
          <w:sz w:val="24"/>
          <w:szCs w:val="24"/>
          <w:lang w:val="es-ES"/>
        </w:rPr>
        <w:t xml:space="preserve"> sin necesidad de obtener la autorización de las autoridades de control de cada Estado miembro. </w:t>
      </w:r>
    </w:p>
    <w:p w:rsidR="004D0178" w:rsidRDefault="004D0178" w:rsidP="007F5AEE">
      <w:pPr>
        <w:pStyle w:val="Default"/>
        <w:jc w:val="both"/>
        <w:rPr>
          <w:rFonts w:ascii="Arial" w:eastAsiaTheme="minorHAnsi" w:hAnsi="Arial" w:cs="Arial"/>
          <w:color w:val="000000"/>
          <w:sz w:val="24"/>
          <w:szCs w:val="24"/>
          <w:lang w:val="es-ES"/>
        </w:rPr>
      </w:pPr>
    </w:p>
    <w:p w:rsidR="004D0178" w:rsidRPr="004D0178" w:rsidRDefault="004D0178" w:rsidP="007F5AEE">
      <w:pPr>
        <w:pStyle w:val="Default"/>
        <w:jc w:val="both"/>
        <w:rPr>
          <w:rFonts w:ascii="Arial" w:eastAsiaTheme="minorHAnsi" w:hAnsi="Arial" w:cs="Arial"/>
          <w:b/>
          <w:color w:val="000000"/>
          <w:sz w:val="28"/>
          <w:szCs w:val="28"/>
          <w:lang w:val="es-ES"/>
        </w:rPr>
      </w:pPr>
      <w:r w:rsidRPr="004D0178">
        <w:rPr>
          <w:rFonts w:ascii="Arial" w:eastAsiaTheme="minorHAnsi" w:hAnsi="Arial" w:cs="Arial"/>
          <w:b/>
          <w:color w:val="000000"/>
          <w:sz w:val="28"/>
          <w:szCs w:val="28"/>
          <w:lang w:val="es-ES"/>
        </w:rPr>
        <w:t xml:space="preserve">Los acuerdos de </w:t>
      </w:r>
      <w:bookmarkStart w:id="0" w:name="_GoBack"/>
      <w:bookmarkEnd w:id="0"/>
      <w:r w:rsidRPr="004D0178">
        <w:rPr>
          <w:rFonts w:ascii="Arial" w:eastAsiaTheme="minorHAnsi" w:hAnsi="Arial" w:cs="Arial"/>
          <w:b/>
          <w:color w:val="000000"/>
          <w:sz w:val="28"/>
          <w:szCs w:val="28"/>
          <w:lang w:val="es-ES"/>
        </w:rPr>
        <w:t xml:space="preserve">puerto seguro han permitido durante 15 años, las transferencia de datos personales a servidores ubicados en los Estados unidos, para ser almacenados y tratados desde ese territorio, sin apenas </w:t>
      </w:r>
      <w:r w:rsidR="007C5A47">
        <w:rPr>
          <w:rFonts w:ascii="Arial" w:eastAsiaTheme="minorHAnsi" w:hAnsi="Arial" w:cs="Arial"/>
          <w:b/>
          <w:color w:val="000000"/>
          <w:sz w:val="28"/>
          <w:szCs w:val="28"/>
          <w:lang w:val="es-ES"/>
        </w:rPr>
        <w:t>t</w:t>
      </w:r>
      <w:r w:rsidRPr="004D0178">
        <w:rPr>
          <w:rFonts w:ascii="Arial" w:eastAsiaTheme="minorHAnsi" w:hAnsi="Arial" w:cs="Arial"/>
          <w:b/>
          <w:color w:val="000000"/>
          <w:sz w:val="28"/>
          <w:szCs w:val="28"/>
          <w:lang w:val="es-ES"/>
        </w:rPr>
        <w:t xml:space="preserve">rabas burocráticas. </w:t>
      </w:r>
    </w:p>
    <w:p w:rsidR="004D0178" w:rsidRPr="004D0178" w:rsidRDefault="004D0178" w:rsidP="007F5AEE">
      <w:pPr>
        <w:pStyle w:val="Default"/>
        <w:jc w:val="both"/>
        <w:rPr>
          <w:rFonts w:ascii="Arial" w:eastAsiaTheme="minorHAnsi" w:hAnsi="Arial" w:cs="Arial"/>
          <w:color w:val="000000"/>
          <w:sz w:val="24"/>
          <w:szCs w:val="24"/>
          <w:lang w:val="es-ES"/>
        </w:rPr>
      </w:pPr>
    </w:p>
    <w:p w:rsidR="009E661F" w:rsidRPr="004D0178" w:rsidRDefault="0009706D" w:rsidP="004D0178">
      <w:pPr>
        <w:pStyle w:val="Default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</w:pPr>
      <w:r w:rsidRPr="007F5AEE">
        <w:rPr>
          <w:rFonts w:ascii="Arial" w:eastAsiaTheme="minorHAnsi" w:hAnsi="Arial" w:cs="Arial"/>
          <w:color w:val="000000"/>
          <w:kern w:val="0"/>
          <w:sz w:val="24"/>
          <w:szCs w:val="24"/>
          <w:lang w:val="ca-ES"/>
        </w:rPr>
        <w:t xml:space="preserve"> </w:t>
      </w:r>
      <w:r w:rsidR="009E661F" w:rsidRPr="004D017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>¿</w:t>
      </w:r>
      <w:r w:rsidR="008C1748" w:rsidRPr="004D017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s-ES"/>
        </w:rPr>
        <w:t xml:space="preserve">Qué dice esta Sentencia? </w:t>
      </w:r>
    </w:p>
    <w:p w:rsidR="004D0178" w:rsidRDefault="004D0178" w:rsidP="004D0178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4D0178" w:rsidRPr="007C5A47" w:rsidRDefault="004D0178" w:rsidP="004D0178">
      <w:pPr>
        <w:jc w:val="both"/>
        <w:rPr>
          <w:rFonts w:ascii="Arial" w:hAnsi="Arial" w:cs="Arial"/>
          <w:b/>
          <w:sz w:val="28"/>
          <w:szCs w:val="28"/>
        </w:rPr>
      </w:pPr>
      <w:r w:rsidRPr="007C5A47">
        <w:rPr>
          <w:rStyle w:val="Textoennegrita"/>
          <w:rFonts w:ascii="Arial" w:hAnsi="Arial" w:cs="Arial"/>
          <w:sz w:val="28"/>
          <w:szCs w:val="28"/>
        </w:rPr>
        <w:t xml:space="preserve">La sentencia no implica la suspensión inmediata de las transferencias de datos a los Estados Unidos; pero </w:t>
      </w:r>
      <w:r w:rsidRPr="007C5A47">
        <w:rPr>
          <w:rFonts w:ascii="Arial" w:hAnsi="Arial" w:cs="Arial"/>
          <w:b/>
          <w:bCs/>
          <w:sz w:val="28"/>
          <w:szCs w:val="28"/>
        </w:rPr>
        <w:t xml:space="preserve">inválida </w:t>
      </w:r>
      <w:r w:rsidRPr="007C5A47">
        <w:rPr>
          <w:rFonts w:ascii="Arial" w:hAnsi="Arial" w:cs="Arial"/>
          <w:b/>
          <w:sz w:val="28"/>
          <w:szCs w:val="28"/>
        </w:rPr>
        <w:t>la Decisión de la Comisión Europea, de 26 de julio de 2000</w:t>
      </w:r>
      <w:r w:rsidRPr="007C5A47">
        <w:rPr>
          <w:rFonts w:ascii="Arial" w:hAnsi="Arial" w:cs="Arial"/>
          <w:b/>
          <w:sz w:val="28"/>
          <w:szCs w:val="28"/>
        </w:rPr>
        <w:t>,</w:t>
      </w:r>
      <w:r w:rsidRPr="007C5A47">
        <w:rPr>
          <w:rFonts w:ascii="Arial" w:hAnsi="Arial" w:cs="Arial"/>
          <w:b/>
          <w:sz w:val="28"/>
          <w:szCs w:val="28"/>
        </w:rPr>
        <w:t xml:space="preserve"> que declaraba que los Principios de Puerto Seguro eran adecuados a la normativa europea. </w:t>
      </w:r>
    </w:p>
    <w:p w:rsidR="004D0178" w:rsidRPr="004D0178" w:rsidRDefault="0098786E" w:rsidP="004D0178">
      <w:pPr>
        <w:pStyle w:val="NormalWeb"/>
        <w:spacing w:before="75" w:beforeAutospacing="0" w:after="0"/>
        <w:ind w:right="150"/>
        <w:jc w:val="both"/>
        <w:rPr>
          <w:rFonts w:ascii="Arial" w:hAnsi="Arial" w:cs="Arial"/>
        </w:rPr>
      </w:pPr>
      <w:r w:rsidRPr="004D0178">
        <w:rPr>
          <w:rFonts w:ascii="Arial" w:hAnsi="Arial" w:cs="Arial"/>
        </w:rPr>
        <w:lastRenderedPageBreak/>
        <w:t xml:space="preserve">En primer lugar, </w:t>
      </w:r>
      <w:r w:rsidR="0009706D" w:rsidRPr="004D0178">
        <w:rPr>
          <w:rFonts w:ascii="Arial" w:hAnsi="Arial" w:cs="Arial"/>
        </w:rPr>
        <w:t xml:space="preserve">el Tribunal de Justicia señala que éste </w:t>
      </w:r>
      <w:r w:rsidRPr="004D0178">
        <w:rPr>
          <w:rFonts w:ascii="Arial" w:hAnsi="Arial" w:cs="Arial"/>
        </w:rPr>
        <w:t xml:space="preserve">régimen </w:t>
      </w:r>
      <w:r w:rsidR="0009706D" w:rsidRPr="004D0178">
        <w:rPr>
          <w:rFonts w:ascii="Arial" w:hAnsi="Arial" w:cs="Arial"/>
        </w:rPr>
        <w:t xml:space="preserve">únicamente es aplicable a las entidades estadounidenses que se han adherido a él, de modo que las autoridades públicas estadounidenses no están sometidas a dicho régimen. </w:t>
      </w:r>
    </w:p>
    <w:p w:rsidR="004D0178" w:rsidRPr="004D0178" w:rsidRDefault="004D0178" w:rsidP="004D0178">
      <w:pPr>
        <w:pStyle w:val="NormalWeb"/>
        <w:spacing w:before="75" w:beforeAutospacing="0" w:after="0"/>
        <w:ind w:right="150"/>
        <w:jc w:val="both"/>
        <w:rPr>
          <w:rFonts w:ascii="Arial" w:hAnsi="Arial" w:cs="Arial"/>
        </w:rPr>
      </w:pPr>
    </w:p>
    <w:p w:rsidR="0098786E" w:rsidRPr="004D0178" w:rsidRDefault="0009706D" w:rsidP="004D0178">
      <w:pPr>
        <w:pStyle w:val="NormalWeb"/>
        <w:spacing w:before="75" w:beforeAutospacing="0" w:after="0"/>
        <w:ind w:right="150"/>
        <w:jc w:val="both"/>
        <w:rPr>
          <w:rFonts w:ascii="Arial" w:hAnsi="Arial" w:cs="Arial"/>
        </w:rPr>
      </w:pPr>
      <w:r w:rsidRPr="004D0178">
        <w:rPr>
          <w:rFonts w:ascii="Arial" w:hAnsi="Arial" w:cs="Arial"/>
        </w:rPr>
        <w:t>Además, las exigencias de seguridad nacional, interés público y cumplimiento de la ley de Estados Unidos</w:t>
      </w:r>
      <w:r w:rsidR="00D962DC" w:rsidRPr="004D0178">
        <w:rPr>
          <w:rFonts w:ascii="Arial" w:hAnsi="Arial" w:cs="Arial"/>
        </w:rPr>
        <w:t>,</w:t>
      </w:r>
      <w:r w:rsidRPr="004D0178">
        <w:rPr>
          <w:rFonts w:ascii="Arial" w:hAnsi="Arial" w:cs="Arial"/>
        </w:rPr>
        <w:t xml:space="preserve"> prevalecen sobre el régimen de puerto seguro, de modo que las entidades estadounidenses están obligadas </w:t>
      </w:r>
      <w:r w:rsidRPr="004D0178">
        <w:rPr>
          <w:rFonts w:ascii="Arial" w:hAnsi="Arial" w:cs="Arial"/>
          <w:bCs/>
        </w:rPr>
        <w:t>a dejar de aplicar, sin limitación, las reglas de protección previstas por ese régimen cuando entren en conflicto con las citadas exigencias</w:t>
      </w:r>
      <w:r w:rsidRPr="004D0178">
        <w:rPr>
          <w:rFonts w:ascii="Arial" w:hAnsi="Arial" w:cs="Arial"/>
        </w:rPr>
        <w:t xml:space="preserve">. </w:t>
      </w:r>
    </w:p>
    <w:p w:rsidR="0098786E" w:rsidRPr="004D0178" w:rsidRDefault="0098786E" w:rsidP="004D0178">
      <w:pPr>
        <w:pStyle w:val="NormalWeb"/>
        <w:spacing w:before="75" w:beforeAutospacing="0" w:after="0"/>
        <w:ind w:right="150"/>
        <w:jc w:val="both"/>
        <w:rPr>
          <w:rFonts w:ascii="Arial" w:hAnsi="Arial" w:cs="Arial"/>
        </w:rPr>
      </w:pPr>
    </w:p>
    <w:p w:rsidR="0009706D" w:rsidRPr="004D0178" w:rsidRDefault="004D0178" w:rsidP="004D0178">
      <w:pPr>
        <w:pStyle w:val="NormalWeb"/>
        <w:spacing w:before="75" w:beforeAutospacing="0" w:after="0"/>
        <w:ind w:right="1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ello, e</w:t>
      </w:r>
      <w:r w:rsidR="0009706D" w:rsidRPr="004D0178">
        <w:rPr>
          <w:rFonts w:ascii="Arial" w:hAnsi="Arial" w:cs="Arial"/>
          <w:b/>
        </w:rPr>
        <w:t xml:space="preserve">l </w:t>
      </w:r>
      <w:r w:rsidRPr="004D0178">
        <w:rPr>
          <w:rFonts w:ascii="Arial" w:hAnsi="Arial" w:cs="Arial"/>
          <w:b/>
        </w:rPr>
        <w:t>Tribunal de J</w:t>
      </w:r>
      <w:r w:rsidR="00D962DC" w:rsidRPr="004D0178">
        <w:rPr>
          <w:rFonts w:ascii="Arial" w:hAnsi="Arial" w:cs="Arial"/>
          <w:b/>
        </w:rPr>
        <w:t xml:space="preserve">usticia de la Unión Europea considera que el </w:t>
      </w:r>
      <w:r w:rsidR="0009706D" w:rsidRPr="004D0178">
        <w:rPr>
          <w:rFonts w:ascii="Arial" w:hAnsi="Arial" w:cs="Arial"/>
          <w:b/>
        </w:rPr>
        <w:t>régimen estadounidense de puerto seguro posibilita injerencias por parte de las autoridades públicas estadounidenses en los derechos fundamentales de las personas</w:t>
      </w:r>
    </w:p>
    <w:p w:rsidR="0098786E" w:rsidRPr="004D0178" w:rsidRDefault="0098786E" w:rsidP="004D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2DC" w:rsidRPr="004D0178" w:rsidRDefault="00D962DC" w:rsidP="004D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0178">
        <w:rPr>
          <w:rFonts w:ascii="Arial" w:hAnsi="Arial" w:cs="Arial"/>
          <w:color w:val="000000"/>
          <w:sz w:val="24"/>
          <w:szCs w:val="24"/>
        </w:rPr>
        <w:t xml:space="preserve">Además, </w:t>
      </w:r>
      <w:r w:rsidR="00FE3312" w:rsidRPr="00FE3312">
        <w:rPr>
          <w:rFonts w:ascii="Arial" w:hAnsi="Arial" w:cs="Arial"/>
          <w:color w:val="000000"/>
          <w:sz w:val="24"/>
          <w:szCs w:val="24"/>
        </w:rPr>
        <w:t xml:space="preserve">el Tribunal de Justicia observa que </w:t>
      </w:r>
      <w:r w:rsidR="00FE3312" w:rsidRPr="00FE3312">
        <w:rPr>
          <w:rFonts w:ascii="Arial" w:hAnsi="Arial" w:cs="Arial"/>
          <w:bCs/>
          <w:color w:val="000000"/>
          <w:sz w:val="24"/>
          <w:szCs w:val="24"/>
        </w:rPr>
        <w:t>en el Derecho de la Unión una normativa no se limita a lo estrictamente necesario cuando autoriza de forma generalizada la conservación de la totalidad de los datos personales de todas las personas</w:t>
      </w:r>
      <w:r w:rsidR="00FE3312" w:rsidRPr="00FE33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3312" w:rsidRPr="00FE3312">
        <w:rPr>
          <w:rFonts w:ascii="Arial" w:hAnsi="Arial" w:cs="Arial"/>
          <w:color w:val="000000"/>
          <w:sz w:val="24"/>
          <w:szCs w:val="24"/>
        </w:rPr>
        <w:t>cuyos datos se hayan transferido desde la Unión a Estados Unidos</w:t>
      </w:r>
      <w:r w:rsidR="00FE3312" w:rsidRPr="00FE3312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E3312" w:rsidRPr="00FE3312">
        <w:rPr>
          <w:rFonts w:ascii="Arial" w:hAnsi="Arial" w:cs="Arial"/>
          <w:bCs/>
          <w:color w:val="000000"/>
          <w:sz w:val="24"/>
          <w:szCs w:val="24"/>
        </w:rPr>
        <w:t>sin establecer ninguna diferenciación, limitación o excepción</w:t>
      </w:r>
      <w:r w:rsidR="00FE3312" w:rsidRPr="00FE33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3312" w:rsidRPr="00FE3312">
        <w:rPr>
          <w:rFonts w:ascii="Arial" w:hAnsi="Arial" w:cs="Arial"/>
          <w:color w:val="000000"/>
          <w:sz w:val="24"/>
          <w:szCs w:val="24"/>
        </w:rPr>
        <w:t xml:space="preserve">en función del objetivo perseguido y sin prever ningún criterio objetivo que permita circunscribir el acceso de las autoridades públicas a los datos y su utilización posterior. </w:t>
      </w:r>
    </w:p>
    <w:p w:rsidR="00D962DC" w:rsidRPr="004D0178" w:rsidRDefault="00D962DC" w:rsidP="004D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3312" w:rsidRPr="004D0178" w:rsidRDefault="004D0178" w:rsidP="004D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0178">
        <w:rPr>
          <w:rFonts w:ascii="Arial" w:hAnsi="Arial" w:cs="Arial"/>
          <w:b/>
          <w:color w:val="000000"/>
          <w:sz w:val="24"/>
          <w:szCs w:val="24"/>
        </w:rPr>
        <w:t>Por ello, e</w:t>
      </w:r>
      <w:r w:rsidR="00FE3312" w:rsidRPr="00FE3312">
        <w:rPr>
          <w:rFonts w:ascii="Arial" w:hAnsi="Arial" w:cs="Arial"/>
          <w:b/>
          <w:color w:val="000000"/>
          <w:sz w:val="24"/>
          <w:szCs w:val="24"/>
        </w:rPr>
        <w:t xml:space="preserve">l Tribunal de Justicia </w:t>
      </w:r>
      <w:r w:rsidR="00D962DC" w:rsidRPr="004D0178">
        <w:rPr>
          <w:rFonts w:ascii="Arial" w:hAnsi="Arial" w:cs="Arial"/>
          <w:b/>
          <w:color w:val="000000"/>
          <w:sz w:val="24"/>
          <w:szCs w:val="24"/>
        </w:rPr>
        <w:t xml:space="preserve">considera </w:t>
      </w:r>
      <w:r w:rsidRPr="004D0178">
        <w:rPr>
          <w:rFonts w:ascii="Arial" w:hAnsi="Arial" w:cs="Arial"/>
          <w:b/>
          <w:color w:val="000000"/>
          <w:sz w:val="24"/>
          <w:szCs w:val="24"/>
        </w:rPr>
        <w:t xml:space="preserve">también </w:t>
      </w:r>
      <w:r w:rsidR="00FE3312" w:rsidRPr="00FE3312">
        <w:rPr>
          <w:rFonts w:ascii="Arial" w:hAnsi="Arial" w:cs="Arial"/>
          <w:b/>
          <w:color w:val="000000"/>
          <w:sz w:val="24"/>
          <w:szCs w:val="24"/>
        </w:rPr>
        <w:t>que una normativa que permite a las autoridades públicas acceder de forma generalizada al contenido de las comunicaciones electrónicas</w:t>
      </w:r>
      <w:r w:rsidRPr="004D0178">
        <w:rPr>
          <w:rFonts w:ascii="Arial" w:hAnsi="Arial" w:cs="Arial"/>
          <w:b/>
          <w:color w:val="000000"/>
          <w:sz w:val="24"/>
          <w:szCs w:val="24"/>
        </w:rPr>
        <w:t>,</w:t>
      </w:r>
      <w:r w:rsidR="00FE3312" w:rsidRPr="00FE33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3312" w:rsidRPr="00FE3312">
        <w:rPr>
          <w:rFonts w:ascii="Arial" w:hAnsi="Arial" w:cs="Arial"/>
          <w:b/>
          <w:bCs/>
          <w:color w:val="000000"/>
          <w:sz w:val="24"/>
          <w:szCs w:val="24"/>
        </w:rPr>
        <w:t>lesiona el contenido esencial del derecho fundamental al respeto de la vida privada</w:t>
      </w:r>
      <w:r w:rsidR="00FE3312" w:rsidRPr="00FE3312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4D0178" w:rsidRPr="00FE3312" w:rsidRDefault="004D0178" w:rsidP="004D0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706D" w:rsidRPr="004D0178" w:rsidRDefault="004D0178" w:rsidP="004D0178">
      <w:pPr>
        <w:pStyle w:val="NormalWeb"/>
        <w:spacing w:before="75" w:beforeAutospacing="0" w:after="0"/>
        <w:ind w:right="150"/>
        <w:jc w:val="both"/>
        <w:rPr>
          <w:rFonts w:ascii="Arial" w:eastAsiaTheme="minorHAnsi" w:hAnsi="Arial" w:cs="Arial"/>
          <w:color w:val="000000"/>
          <w:lang w:eastAsia="en-US"/>
        </w:rPr>
      </w:pPr>
      <w:r w:rsidRPr="004D0178">
        <w:rPr>
          <w:rFonts w:ascii="Arial" w:eastAsiaTheme="minorHAnsi" w:hAnsi="Arial" w:cs="Arial"/>
          <w:color w:val="000000"/>
          <w:lang w:eastAsia="en-US"/>
        </w:rPr>
        <w:t xml:space="preserve">Por último, </w:t>
      </w:r>
      <w:r w:rsidR="00FE3312" w:rsidRPr="004D0178">
        <w:rPr>
          <w:rFonts w:ascii="Arial" w:eastAsiaTheme="minorHAnsi" w:hAnsi="Arial" w:cs="Arial"/>
          <w:color w:val="000000"/>
          <w:lang w:eastAsia="en-US"/>
        </w:rPr>
        <w:t>el Tribunal de Justicia destaca que una normativa que no prevé posibilidad alguna de que el justiciable ejerza acciones en Derecho para acceder a los datos personales que le conciernen o para obtener su rectificación o supresión</w:t>
      </w:r>
      <w:r w:rsidRPr="004D0178">
        <w:rPr>
          <w:rFonts w:ascii="Arial" w:eastAsiaTheme="minorHAnsi" w:hAnsi="Arial" w:cs="Arial"/>
          <w:color w:val="000000"/>
          <w:lang w:eastAsia="en-US"/>
        </w:rPr>
        <w:t>,</w:t>
      </w:r>
      <w:r w:rsidR="00FE3312" w:rsidRPr="004D017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E3312" w:rsidRPr="004D0178">
        <w:rPr>
          <w:rFonts w:ascii="Arial" w:eastAsiaTheme="minorHAnsi" w:hAnsi="Arial" w:cs="Arial"/>
          <w:bCs/>
          <w:color w:val="000000"/>
          <w:lang w:eastAsia="en-US"/>
        </w:rPr>
        <w:t>vulnera el contenido esencial del derecho fundamental a la tutela judicial efectiva</w:t>
      </w:r>
      <w:r w:rsidR="00FE3312" w:rsidRPr="004D0178"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 w:rsidR="00FE3312" w:rsidRPr="004D0178">
        <w:rPr>
          <w:rFonts w:ascii="Arial" w:eastAsiaTheme="minorHAnsi" w:hAnsi="Arial" w:cs="Arial"/>
          <w:color w:val="000000"/>
          <w:lang w:eastAsia="en-US"/>
        </w:rPr>
        <w:t xml:space="preserve">cuando esa posibilidad es inherente a la existencia del </w:t>
      </w:r>
      <w:r w:rsidR="00FE3312" w:rsidRPr="004D0178">
        <w:rPr>
          <w:rFonts w:ascii="Arial" w:eastAsiaTheme="minorHAnsi" w:hAnsi="Arial" w:cs="Arial"/>
          <w:bCs/>
          <w:color w:val="000000"/>
          <w:lang w:eastAsia="en-US"/>
        </w:rPr>
        <w:t>Estado de Derecho</w:t>
      </w:r>
      <w:r w:rsidR="00FE3312" w:rsidRPr="004D0178">
        <w:rPr>
          <w:rFonts w:ascii="Arial" w:eastAsiaTheme="minorHAnsi" w:hAnsi="Arial" w:cs="Arial"/>
          <w:color w:val="000000"/>
          <w:lang w:eastAsia="en-US"/>
        </w:rPr>
        <w:t>.</w:t>
      </w:r>
    </w:p>
    <w:p w:rsidR="00FE3312" w:rsidRDefault="00FE3312" w:rsidP="00FE3312">
      <w:pPr>
        <w:pStyle w:val="NormalWeb"/>
        <w:spacing w:before="75" w:beforeAutospacing="0" w:after="0"/>
        <w:ind w:right="150"/>
        <w:jc w:val="both"/>
        <w:rPr>
          <w:rFonts w:ascii="Arial" w:hAnsi="Arial" w:cs="Arial"/>
          <w:color w:val="000000"/>
        </w:rPr>
      </w:pPr>
    </w:p>
    <w:p w:rsidR="008C1748" w:rsidRDefault="008C1748" w:rsidP="003571E6">
      <w:pPr>
        <w:jc w:val="both"/>
        <w:rPr>
          <w:rStyle w:val="Textoennegrita"/>
          <w:rFonts w:ascii="Arial" w:hAnsi="Arial" w:cs="Arial"/>
          <w:sz w:val="28"/>
          <w:szCs w:val="28"/>
        </w:rPr>
      </w:pPr>
      <w:r>
        <w:rPr>
          <w:rStyle w:val="Textoennegrita"/>
          <w:rFonts w:ascii="Arial" w:hAnsi="Arial" w:cs="Arial"/>
          <w:sz w:val="28"/>
          <w:szCs w:val="28"/>
        </w:rPr>
        <w:t>¿Qué va a pasar ahora?</w:t>
      </w:r>
    </w:p>
    <w:p w:rsidR="007F5AEE" w:rsidRPr="007C5A47" w:rsidRDefault="00D962DC" w:rsidP="003571E6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5A47">
        <w:rPr>
          <w:rFonts w:ascii="Arial" w:hAnsi="Arial" w:cs="Arial"/>
          <w:b/>
          <w:bCs/>
          <w:sz w:val="28"/>
          <w:szCs w:val="28"/>
        </w:rPr>
        <w:t>Como consecuencia de esta sentencia</w:t>
      </w:r>
      <w:r w:rsidRPr="007C5A47">
        <w:rPr>
          <w:rFonts w:ascii="Arial" w:hAnsi="Arial" w:cs="Arial"/>
          <w:b/>
          <w:bCs/>
          <w:sz w:val="28"/>
          <w:szCs w:val="28"/>
        </w:rPr>
        <w:t xml:space="preserve"> las autoridades nacionales de control podrán 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investigar si las empresas estadounidense</w:t>
      </w:r>
      <w:r w:rsid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</w:t>
      </w:r>
      <w:r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ofrecen suficientes garantías</w:t>
      </w:r>
      <w:r w:rsidR="006E467C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para ser consideradas como seguras</w:t>
      </w:r>
      <w:r w:rsidR="007F5AEE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Si concluyen que no ofrecen un nivel de protección </w:t>
      </w:r>
      <w:r w:rsidR="004D0178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equiparable </w:t>
      </w:r>
      <w:r w:rsidR="007F5AEE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al que demanda la normativa europe</w:t>
      </w:r>
      <w:r w:rsidR="004D0178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="007F5AEE" w:rsidRPr="007C5A4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podrán suspender la transferencia. </w:t>
      </w:r>
    </w:p>
    <w:p w:rsidR="00D962DC" w:rsidRPr="006E467C" w:rsidRDefault="00D962DC" w:rsidP="003571E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Con el acuerdo de</w:t>
      </w:r>
      <w:r w:rsidRPr="006E467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E467C">
        <w:rPr>
          <w:rStyle w:val="nf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safe</w:t>
      </w:r>
      <w:proofErr w:type="spellEnd"/>
      <w:r w:rsidRPr="006E467C">
        <w:rPr>
          <w:rStyle w:val="nf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467C">
        <w:rPr>
          <w:rStyle w:val="nf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harbour</w:t>
      </w:r>
      <w:proofErr w:type="spellEnd"/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se asumía de manera casi automática que las </w:t>
      </w:r>
      <w:proofErr w:type="gramStart"/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empresas</w:t>
      </w:r>
      <w:proofErr w:type="gramEnd"/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cumplían con los estándares de protección que contempla la regulación europea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En cambio, c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 </w:t>
      </w:r>
      <w:r w:rsid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la anulación de estos acuerdos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, esta presunción desaparece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962DC" w:rsidRPr="006E467C" w:rsidRDefault="00D962DC" w:rsidP="003571E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ello 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es de suponer que Europa y los Estados U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nidos aceleraran las conversaciones para llegar a </w:t>
      </w:r>
      <w:r w:rsidR="0021737C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bl</w:t>
      </w:r>
      <w:r w:rsidR="0021737C">
        <w:rPr>
          <w:rFonts w:ascii="Arial" w:hAnsi="Arial" w:cs="Arial"/>
          <w:color w:val="000000"/>
          <w:sz w:val="24"/>
          <w:szCs w:val="24"/>
          <w:shd w:val="clear" w:color="auto" w:fill="FFFFFF"/>
        </w:rPr>
        <w:t>ecer un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nuev</w:t>
      </w:r>
      <w:r w:rsidR="0021737C">
        <w:rPr>
          <w:rFonts w:ascii="Arial" w:hAnsi="Arial" w:cs="Arial"/>
          <w:color w:val="000000"/>
          <w:sz w:val="24"/>
          <w:szCs w:val="24"/>
          <w:shd w:val="clear" w:color="auto" w:fill="FFFFFF"/>
        </w:rPr>
        <w:t>o marco jurídico que permita el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flujo de datos transoceánico con unas ciertas garantías</w:t>
      </w:r>
    </w:p>
    <w:p w:rsidR="00D962DC" w:rsidRPr="006E467C" w:rsidRDefault="00D962DC" w:rsidP="003571E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Pero, mientras tanto, las empresas que cuentan con servidores al otro lado del Atlá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tico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deberán plantearse cambios im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portantes en su estructura de nego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>cio si no quieren verse expuestas a denuncias y posible</w:t>
      </w:r>
      <w:r w:rsidR="007F5AE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6E46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infracciones de la normativa comunitaria. </w:t>
      </w:r>
    </w:p>
    <w:p w:rsidR="00252BEF" w:rsidRPr="00A24E01" w:rsidRDefault="00252BEF" w:rsidP="003571E6">
      <w:pPr>
        <w:jc w:val="both"/>
        <w:rPr>
          <w:rStyle w:val="Textoennegrita"/>
          <w:rFonts w:ascii="Arial" w:hAnsi="Arial" w:cs="Arial"/>
          <w:sz w:val="28"/>
          <w:szCs w:val="28"/>
        </w:rPr>
      </w:pPr>
      <w:r w:rsidRPr="00A24E01">
        <w:rPr>
          <w:rStyle w:val="Textoennegrita"/>
          <w:rFonts w:ascii="Arial" w:hAnsi="Arial" w:cs="Arial"/>
          <w:sz w:val="28"/>
          <w:szCs w:val="28"/>
        </w:rPr>
        <w:t xml:space="preserve">A MODO DE CONCLUSION: </w:t>
      </w:r>
    </w:p>
    <w:p w:rsidR="007C5A47" w:rsidRPr="006E467C" w:rsidRDefault="007C5A47" w:rsidP="007C5A4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E467C">
        <w:rPr>
          <w:rStyle w:val="Textoennegrita"/>
          <w:rFonts w:ascii="Arial" w:hAnsi="Arial" w:cs="Arial"/>
          <w:b w:val="0"/>
          <w:sz w:val="24"/>
          <w:szCs w:val="24"/>
        </w:rPr>
        <w:t xml:space="preserve">Pese a que la sentencia se refiere concretamente al caso de Facebook, se calcula que existen más de </w:t>
      </w:r>
      <w:r w:rsidRPr="006E467C">
        <w:rPr>
          <w:rFonts w:ascii="Arial" w:hAnsi="Arial" w:cs="Arial"/>
          <w:color w:val="333333"/>
          <w:sz w:val="24"/>
          <w:szCs w:val="24"/>
          <w:shd w:val="clear" w:color="auto" w:fill="FFFFFF"/>
        </w:rPr>
        <w:t>4.400 empresas que almacenan sus datos en Estados Unidos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7C5A47" w:rsidRPr="007C5A47" w:rsidRDefault="007C5A47" w:rsidP="007C5A47">
      <w:pPr>
        <w:jc w:val="both"/>
        <w:rPr>
          <w:rStyle w:val="Textoennegrita"/>
          <w:rFonts w:ascii="Arial" w:hAnsi="Arial" w:cs="Arial"/>
          <w:sz w:val="24"/>
          <w:szCs w:val="24"/>
        </w:rPr>
      </w:pPr>
      <w:r w:rsidRPr="007C5A47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Estas empresas tendrán que reestructurar sus negocios para evitar una infracción de la normativa comunitaria.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AE2" w:rsidTr="00E90AE2">
        <w:tc>
          <w:tcPr>
            <w:tcW w:w="8644" w:type="dxa"/>
            <w:shd w:val="clear" w:color="auto" w:fill="D9D9D9" w:themeFill="background1" w:themeFillShade="D9"/>
          </w:tcPr>
          <w:p w:rsidR="00E90AE2" w:rsidRDefault="00525717" w:rsidP="00E9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17">
              <w:rPr>
                <w:rFonts w:ascii="Arial" w:hAnsi="Arial" w:cs="Arial"/>
                <w:szCs w:val="20"/>
              </w:rPr>
              <w:t xml:space="preserve"> </w:t>
            </w:r>
          </w:p>
          <w:p w:rsidR="00E90AE2" w:rsidRDefault="00FC1927" w:rsidP="00E9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AE2">
              <w:rPr>
                <w:rFonts w:ascii="Arial" w:hAnsi="Arial" w:cs="Arial"/>
                <w:sz w:val="24"/>
                <w:szCs w:val="24"/>
              </w:rPr>
              <w:t>NORMATIVA APLICADA</w:t>
            </w:r>
          </w:p>
          <w:p w:rsidR="00E90AE2" w:rsidRDefault="00E90AE2" w:rsidP="00E90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AE2" w:rsidTr="00E90AE2">
        <w:tc>
          <w:tcPr>
            <w:tcW w:w="8644" w:type="dxa"/>
          </w:tcPr>
          <w:p w:rsidR="00E90AE2" w:rsidRDefault="00E90AE2" w:rsidP="00252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37C" w:rsidRDefault="0021737C" w:rsidP="00722496">
            <w:pPr>
              <w:pStyle w:val="yiv7979774406msonormal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:rsidR="00525717" w:rsidRDefault="0021737C" w:rsidP="00722496">
            <w:pPr>
              <w:pStyle w:val="yiv7979774406msonormal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Sentencia del Tribunal de Justicia de la Unión Europea de C 362/14</w:t>
            </w:r>
            <w:r w:rsidR="00722496">
              <w:rPr>
                <w:rFonts w:ascii="Arial" w:hAnsi="Arial" w:cs="Arial"/>
                <w:color w:val="000000"/>
                <w:lang w:val="es-ES"/>
              </w:rPr>
              <w:t xml:space="preserve">. </w:t>
            </w:r>
          </w:p>
          <w:p w:rsidR="00F34560" w:rsidRDefault="00F34560" w:rsidP="00F34560">
            <w:pPr>
              <w:pStyle w:val="yiv8087276861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252BEF" w:rsidRPr="00E90AE2" w:rsidRDefault="00252BEF" w:rsidP="00252BEF">
      <w:pPr>
        <w:jc w:val="both"/>
        <w:rPr>
          <w:rFonts w:ascii="Arial" w:hAnsi="Arial" w:cs="Arial"/>
          <w:sz w:val="24"/>
          <w:szCs w:val="24"/>
        </w:rPr>
      </w:pPr>
    </w:p>
    <w:sectPr w:rsidR="00252BEF" w:rsidRPr="00E90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9C9"/>
    <w:multiLevelType w:val="hybridMultilevel"/>
    <w:tmpl w:val="05D8AF9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95C29"/>
    <w:multiLevelType w:val="hybridMultilevel"/>
    <w:tmpl w:val="91201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3E8A"/>
    <w:multiLevelType w:val="hybridMultilevel"/>
    <w:tmpl w:val="978A0832"/>
    <w:lvl w:ilvl="0" w:tplc="040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63E"/>
    <w:multiLevelType w:val="hybridMultilevel"/>
    <w:tmpl w:val="65B2F69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10A6"/>
    <w:multiLevelType w:val="hybridMultilevel"/>
    <w:tmpl w:val="CC902F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43A2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59E0"/>
    <w:multiLevelType w:val="hybridMultilevel"/>
    <w:tmpl w:val="2B4699AA"/>
    <w:lvl w:ilvl="0" w:tplc="2AB60592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379BF"/>
    <w:multiLevelType w:val="hybridMultilevel"/>
    <w:tmpl w:val="D19CFE7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9D7562"/>
    <w:multiLevelType w:val="hybridMultilevel"/>
    <w:tmpl w:val="F070BE0C"/>
    <w:lvl w:ilvl="0" w:tplc="AC14E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0205"/>
    <w:multiLevelType w:val="hybridMultilevel"/>
    <w:tmpl w:val="2F42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5D48"/>
    <w:multiLevelType w:val="hybridMultilevel"/>
    <w:tmpl w:val="B046EEF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213651"/>
    <w:multiLevelType w:val="hybridMultilevel"/>
    <w:tmpl w:val="FC202240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978C4"/>
    <w:multiLevelType w:val="hybridMultilevel"/>
    <w:tmpl w:val="9AA8C588"/>
    <w:lvl w:ilvl="0" w:tplc="4E6038C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575F1820"/>
    <w:multiLevelType w:val="hybridMultilevel"/>
    <w:tmpl w:val="688C3036"/>
    <w:lvl w:ilvl="0" w:tplc="040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9AF5DD2"/>
    <w:multiLevelType w:val="hybridMultilevel"/>
    <w:tmpl w:val="622CBD72"/>
    <w:lvl w:ilvl="0" w:tplc="7FFED1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7F79"/>
    <w:multiLevelType w:val="multilevel"/>
    <w:tmpl w:val="3E6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4F6EBB"/>
    <w:multiLevelType w:val="hybridMultilevel"/>
    <w:tmpl w:val="B0D0AF9E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F2E3D24"/>
    <w:multiLevelType w:val="hybridMultilevel"/>
    <w:tmpl w:val="46548D2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490"/>
    <w:multiLevelType w:val="hybridMultilevel"/>
    <w:tmpl w:val="C81C79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620BF"/>
    <w:multiLevelType w:val="hybridMultilevel"/>
    <w:tmpl w:val="41D28608"/>
    <w:lvl w:ilvl="0" w:tplc="69FC77B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96FDC"/>
    <w:multiLevelType w:val="hybridMultilevel"/>
    <w:tmpl w:val="E0B064BC"/>
    <w:lvl w:ilvl="0" w:tplc="69F203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928F3"/>
    <w:multiLevelType w:val="hybridMultilevel"/>
    <w:tmpl w:val="25F23DB8"/>
    <w:lvl w:ilvl="0" w:tplc="48E61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F5DC0"/>
    <w:multiLevelType w:val="hybridMultilevel"/>
    <w:tmpl w:val="6D2A77EC"/>
    <w:lvl w:ilvl="0" w:tplc="4E6038C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204" w:hanging="360"/>
      </w:pPr>
    </w:lvl>
    <w:lvl w:ilvl="2" w:tplc="0403001B" w:tentative="1">
      <w:start w:val="1"/>
      <w:numFmt w:val="lowerRoman"/>
      <w:lvlText w:val="%3."/>
      <w:lvlJc w:val="right"/>
      <w:pPr>
        <w:ind w:left="3924" w:hanging="180"/>
      </w:pPr>
    </w:lvl>
    <w:lvl w:ilvl="3" w:tplc="0403000F" w:tentative="1">
      <w:start w:val="1"/>
      <w:numFmt w:val="decimal"/>
      <w:lvlText w:val="%4."/>
      <w:lvlJc w:val="left"/>
      <w:pPr>
        <w:ind w:left="4644" w:hanging="360"/>
      </w:pPr>
    </w:lvl>
    <w:lvl w:ilvl="4" w:tplc="04030019" w:tentative="1">
      <w:start w:val="1"/>
      <w:numFmt w:val="lowerLetter"/>
      <w:lvlText w:val="%5."/>
      <w:lvlJc w:val="left"/>
      <w:pPr>
        <w:ind w:left="5364" w:hanging="360"/>
      </w:pPr>
    </w:lvl>
    <w:lvl w:ilvl="5" w:tplc="0403001B" w:tentative="1">
      <w:start w:val="1"/>
      <w:numFmt w:val="lowerRoman"/>
      <w:lvlText w:val="%6."/>
      <w:lvlJc w:val="right"/>
      <w:pPr>
        <w:ind w:left="6084" w:hanging="180"/>
      </w:pPr>
    </w:lvl>
    <w:lvl w:ilvl="6" w:tplc="0403000F" w:tentative="1">
      <w:start w:val="1"/>
      <w:numFmt w:val="decimal"/>
      <w:lvlText w:val="%7."/>
      <w:lvlJc w:val="left"/>
      <w:pPr>
        <w:ind w:left="6804" w:hanging="360"/>
      </w:pPr>
    </w:lvl>
    <w:lvl w:ilvl="7" w:tplc="04030019" w:tentative="1">
      <w:start w:val="1"/>
      <w:numFmt w:val="lowerLetter"/>
      <w:lvlText w:val="%8."/>
      <w:lvlJc w:val="left"/>
      <w:pPr>
        <w:ind w:left="7524" w:hanging="360"/>
      </w:pPr>
    </w:lvl>
    <w:lvl w:ilvl="8" w:tplc="040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6E51570A"/>
    <w:multiLevelType w:val="hybridMultilevel"/>
    <w:tmpl w:val="191A39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5349B"/>
    <w:multiLevelType w:val="hybridMultilevel"/>
    <w:tmpl w:val="978A0832"/>
    <w:lvl w:ilvl="0" w:tplc="040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DE0"/>
    <w:multiLevelType w:val="hybridMultilevel"/>
    <w:tmpl w:val="DED6760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22"/>
  </w:num>
  <w:num w:numId="5">
    <w:abstractNumId w:val="15"/>
  </w:num>
  <w:num w:numId="6">
    <w:abstractNumId w:val="19"/>
  </w:num>
  <w:num w:numId="7">
    <w:abstractNumId w:val="2"/>
  </w:num>
  <w:num w:numId="8">
    <w:abstractNumId w:val="13"/>
  </w:num>
  <w:num w:numId="9">
    <w:abstractNumId w:val="16"/>
  </w:num>
  <w:num w:numId="10">
    <w:abstractNumId w:val="24"/>
  </w:num>
  <w:num w:numId="11">
    <w:abstractNumId w:val="3"/>
  </w:num>
  <w:num w:numId="12">
    <w:abstractNumId w:val="12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F"/>
    <w:rsid w:val="00062BD7"/>
    <w:rsid w:val="0009706D"/>
    <w:rsid w:val="000A6038"/>
    <w:rsid w:val="000B2018"/>
    <w:rsid w:val="000E5CA0"/>
    <w:rsid w:val="00110E1C"/>
    <w:rsid w:val="00127CB2"/>
    <w:rsid w:val="00142BDB"/>
    <w:rsid w:val="00154259"/>
    <w:rsid w:val="0019293D"/>
    <w:rsid w:val="0021242B"/>
    <w:rsid w:val="0021737C"/>
    <w:rsid w:val="00230A1D"/>
    <w:rsid w:val="00252BEF"/>
    <w:rsid w:val="002660F5"/>
    <w:rsid w:val="002E08F9"/>
    <w:rsid w:val="00302F4B"/>
    <w:rsid w:val="00311D76"/>
    <w:rsid w:val="003136E5"/>
    <w:rsid w:val="003222D8"/>
    <w:rsid w:val="00324099"/>
    <w:rsid w:val="003571E6"/>
    <w:rsid w:val="00384569"/>
    <w:rsid w:val="003A3737"/>
    <w:rsid w:val="00461D07"/>
    <w:rsid w:val="004D0178"/>
    <w:rsid w:val="004D18EB"/>
    <w:rsid w:val="00525717"/>
    <w:rsid w:val="005458DF"/>
    <w:rsid w:val="005B6BB1"/>
    <w:rsid w:val="00607457"/>
    <w:rsid w:val="006147CA"/>
    <w:rsid w:val="006E467C"/>
    <w:rsid w:val="00722496"/>
    <w:rsid w:val="007318BF"/>
    <w:rsid w:val="00757B68"/>
    <w:rsid w:val="00773D51"/>
    <w:rsid w:val="0079724D"/>
    <w:rsid w:val="00797AAC"/>
    <w:rsid w:val="007A17E0"/>
    <w:rsid w:val="007B4380"/>
    <w:rsid w:val="007C5A47"/>
    <w:rsid w:val="007F5AEE"/>
    <w:rsid w:val="00807815"/>
    <w:rsid w:val="00831011"/>
    <w:rsid w:val="00854101"/>
    <w:rsid w:val="008A3261"/>
    <w:rsid w:val="008C1748"/>
    <w:rsid w:val="00966110"/>
    <w:rsid w:val="00975B64"/>
    <w:rsid w:val="0098786E"/>
    <w:rsid w:val="009D5E42"/>
    <w:rsid w:val="009E2651"/>
    <w:rsid w:val="009E661F"/>
    <w:rsid w:val="00A13205"/>
    <w:rsid w:val="00A24E01"/>
    <w:rsid w:val="00AA22D8"/>
    <w:rsid w:val="00AC65F5"/>
    <w:rsid w:val="00AD3919"/>
    <w:rsid w:val="00B076BE"/>
    <w:rsid w:val="00C822FD"/>
    <w:rsid w:val="00D11B89"/>
    <w:rsid w:val="00D43263"/>
    <w:rsid w:val="00D962DC"/>
    <w:rsid w:val="00DE73D4"/>
    <w:rsid w:val="00E239C7"/>
    <w:rsid w:val="00E41570"/>
    <w:rsid w:val="00E61012"/>
    <w:rsid w:val="00E63289"/>
    <w:rsid w:val="00E705C3"/>
    <w:rsid w:val="00E90AE2"/>
    <w:rsid w:val="00E943B8"/>
    <w:rsid w:val="00F12F6A"/>
    <w:rsid w:val="00F1638F"/>
    <w:rsid w:val="00F23FDB"/>
    <w:rsid w:val="00F34560"/>
    <w:rsid w:val="00F60239"/>
    <w:rsid w:val="00F832EB"/>
    <w:rsid w:val="00F85DD1"/>
    <w:rsid w:val="00FB3E38"/>
    <w:rsid w:val="00FC1927"/>
    <w:rsid w:val="00FC1A4F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136E5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2BEF"/>
    <w:rPr>
      <w:strike w:val="0"/>
      <w:dstrike w:val="0"/>
      <w:color w:val="026AC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52BEF"/>
    <w:rPr>
      <w:b/>
      <w:bCs/>
    </w:rPr>
  </w:style>
  <w:style w:type="paragraph" w:styleId="NormalWeb">
    <w:name w:val="Normal (Web)"/>
    <w:basedOn w:val="Normal"/>
    <w:uiPriority w:val="99"/>
    <w:unhideWhenUsed/>
    <w:rsid w:val="00252BE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52B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75B64"/>
    <w:rPr>
      <w:i/>
      <w:iCs/>
    </w:rPr>
  </w:style>
  <w:style w:type="paragraph" w:customStyle="1" w:styleId="Default">
    <w:name w:val="Default"/>
    <w:rsid w:val="00313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style65">
    <w:name w:val="style65"/>
    <w:basedOn w:val="Normal"/>
    <w:rsid w:val="0031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3136E5"/>
    <w:rPr>
      <w:rFonts w:ascii="Arial" w:eastAsia="Calibri" w:hAnsi="Arial" w:cs="Arial"/>
      <w:b/>
      <w:bCs/>
      <w:sz w:val="20"/>
      <w:szCs w:val="20"/>
      <w:lang w:eastAsia="es-ES"/>
    </w:rPr>
  </w:style>
  <w:style w:type="character" w:customStyle="1" w:styleId="style461">
    <w:name w:val="style461"/>
    <w:basedOn w:val="Fuentedeprrafopredeter"/>
    <w:rsid w:val="00F832EB"/>
    <w:rPr>
      <w:sz w:val="27"/>
      <w:szCs w:val="27"/>
    </w:rPr>
  </w:style>
  <w:style w:type="paragraph" w:customStyle="1" w:styleId="style13">
    <w:name w:val="style13"/>
    <w:basedOn w:val="Normal"/>
    <w:rsid w:val="00F832EB"/>
    <w:pPr>
      <w:spacing w:before="45" w:after="45" w:line="312" w:lineRule="auto"/>
      <w:ind w:left="750" w:right="750" w:firstLine="45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qFormat/>
    <w:rsid w:val="000B2018"/>
    <w:pPr>
      <w:spacing w:after="0" w:line="240" w:lineRule="auto"/>
    </w:pPr>
    <w:rPr>
      <w:rFonts w:ascii="Arial" w:eastAsia="MS Mincho" w:hAnsi="Arial" w:cs="Times New Roman"/>
      <w:b/>
      <w:color w:val="161616"/>
      <w:sz w:val="26"/>
      <w:szCs w:val="18"/>
      <w:lang w:val="es-ES_tradnl"/>
    </w:rPr>
  </w:style>
  <w:style w:type="paragraph" w:customStyle="1" w:styleId="style47">
    <w:name w:val="style47"/>
    <w:basedOn w:val="Normal"/>
    <w:rsid w:val="003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7">
    <w:name w:val="Pa7"/>
    <w:basedOn w:val="Normal"/>
    <w:next w:val="Normal"/>
    <w:uiPriority w:val="99"/>
    <w:rsid w:val="003222D8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ca-ES" w:eastAsia="ca-ES"/>
    </w:rPr>
  </w:style>
  <w:style w:type="paragraph" w:customStyle="1" w:styleId="Subapartado">
    <w:name w:val="Subapartado"/>
    <w:qFormat/>
    <w:rsid w:val="003222D8"/>
    <w:pPr>
      <w:spacing w:after="0" w:line="240" w:lineRule="auto"/>
    </w:pPr>
    <w:rPr>
      <w:rFonts w:ascii="Arial" w:eastAsia="MS Mincho" w:hAnsi="Arial" w:cs="Times New Roman"/>
      <w:b/>
      <w:color w:val="161616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3222D8"/>
  </w:style>
  <w:style w:type="paragraph" w:customStyle="1" w:styleId="style69">
    <w:name w:val="style69"/>
    <w:basedOn w:val="Normal"/>
    <w:rsid w:val="004D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bodytext">
    <w:name w:val="bodytext"/>
    <w:basedOn w:val="Normal"/>
    <w:rsid w:val="00D4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independiente">
    <w:name w:val="Body Text"/>
    <w:basedOn w:val="Normal"/>
    <w:link w:val="TextoindependienteCar"/>
    <w:rsid w:val="00D43263"/>
    <w:pPr>
      <w:spacing w:after="0" w:line="240" w:lineRule="auto"/>
      <w:ind w:right="-143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3263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customStyle="1" w:styleId="yiv3473832152msonormal">
    <w:name w:val="yiv3473832152msonormal"/>
    <w:basedOn w:val="Normal"/>
    <w:rsid w:val="005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yiv8087276861msonormal">
    <w:name w:val="yiv8087276861msonormal"/>
    <w:basedOn w:val="Normal"/>
    <w:rsid w:val="009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style57">
    <w:name w:val="style57"/>
    <w:rsid w:val="00F60239"/>
  </w:style>
  <w:style w:type="paragraph" w:customStyle="1" w:styleId="style102">
    <w:name w:val="style102"/>
    <w:basedOn w:val="Normal"/>
    <w:rsid w:val="00F6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yiv7979774406msonormal">
    <w:name w:val="yiv7979774406msonormal"/>
    <w:basedOn w:val="Normal"/>
    <w:rsid w:val="00F3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rrafo">
    <w:name w:val="parrafo"/>
    <w:basedOn w:val="Normal"/>
    <w:rsid w:val="003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rrafo2">
    <w:name w:val="parrafo_2"/>
    <w:basedOn w:val="Normal"/>
    <w:rsid w:val="003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136E5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2BEF"/>
    <w:rPr>
      <w:strike w:val="0"/>
      <w:dstrike w:val="0"/>
      <w:color w:val="026AC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52BEF"/>
    <w:rPr>
      <w:b/>
      <w:bCs/>
    </w:rPr>
  </w:style>
  <w:style w:type="paragraph" w:styleId="NormalWeb">
    <w:name w:val="Normal (Web)"/>
    <w:basedOn w:val="Normal"/>
    <w:uiPriority w:val="99"/>
    <w:unhideWhenUsed/>
    <w:rsid w:val="00252BE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52B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75B64"/>
    <w:rPr>
      <w:i/>
      <w:iCs/>
    </w:rPr>
  </w:style>
  <w:style w:type="paragraph" w:customStyle="1" w:styleId="Default">
    <w:name w:val="Default"/>
    <w:rsid w:val="00313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style65">
    <w:name w:val="style65"/>
    <w:basedOn w:val="Normal"/>
    <w:rsid w:val="0031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3136E5"/>
    <w:rPr>
      <w:rFonts w:ascii="Arial" w:eastAsia="Calibri" w:hAnsi="Arial" w:cs="Arial"/>
      <w:b/>
      <w:bCs/>
      <w:sz w:val="20"/>
      <w:szCs w:val="20"/>
      <w:lang w:eastAsia="es-ES"/>
    </w:rPr>
  </w:style>
  <w:style w:type="character" w:customStyle="1" w:styleId="style461">
    <w:name w:val="style461"/>
    <w:basedOn w:val="Fuentedeprrafopredeter"/>
    <w:rsid w:val="00F832EB"/>
    <w:rPr>
      <w:sz w:val="27"/>
      <w:szCs w:val="27"/>
    </w:rPr>
  </w:style>
  <w:style w:type="paragraph" w:customStyle="1" w:styleId="style13">
    <w:name w:val="style13"/>
    <w:basedOn w:val="Normal"/>
    <w:rsid w:val="00F832EB"/>
    <w:pPr>
      <w:spacing w:before="45" w:after="45" w:line="312" w:lineRule="auto"/>
      <w:ind w:left="750" w:right="750" w:firstLine="45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qFormat/>
    <w:rsid w:val="000B2018"/>
    <w:pPr>
      <w:spacing w:after="0" w:line="240" w:lineRule="auto"/>
    </w:pPr>
    <w:rPr>
      <w:rFonts w:ascii="Arial" w:eastAsia="MS Mincho" w:hAnsi="Arial" w:cs="Times New Roman"/>
      <w:b/>
      <w:color w:val="161616"/>
      <w:sz w:val="26"/>
      <w:szCs w:val="18"/>
      <w:lang w:val="es-ES_tradnl"/>
    </w:rPr>
  </w:style>
  <w:style w:type="paragraph" w:customStyle="1" w:styleId="style47">
    <w:name w:val="style47"/>
    <w:basedOn w:val="Normal"/>
    <w:rsid w:val="0032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7">
    <w:name w:val="Pa7"/>
    <w:basedOn w:val="Normal"/>
    <w:next w:val="Normal"/>
    <w:uiPriority w:val="99"/>
    <w:rsid w:val="003222D8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ca-ES" w:eastAsia="ca-ES"/>
    </w:rPr>
  </w:style>
  <w:style w:type="paragraph" w:customStyle="1" w:styleId="Subapartado">
    <w:name w:val="Subapartado"/>
    <w:qFormat/>
    <w:rsid w:val="003222D8"/>
    <w:pPr>
      <w:spacing w:after="0" w:line="240" w:lineRule="auto"/>
    </w:pPr>
    <w:rPr>
      <w:rFonts w:ascii="Arial" w:eastAsia="MS Mincho" w:hAnsi="Arial" w:cs="Times New Roman"/>
      <w:b/>
      <w:color w:val="161616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3222D8"/>
  </w:style>
  <w:style w:type="paragraph" w:customStyle="1" w:styleId="style69">
    <w:name w:val="style69"/>
    <w:basedOn w:val="Normal"/>
    <w:rsid w:val="004D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bodytext">
    <w:name w:val="bodytext"/>
    <w:basedOn w:val="Normal"/>
    <w:rsid w:val="00D4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independiente">
    <w:name w:val="Body Text"/>
    <w:basedOn w:val="Normal"/>
    <w:link w:val="TextoindependienteCar"/>
    <w:rsid w:val="00D43263"/>
    <w:pPr>
      <w:spacing w:after="0" w:line="240" w:lineRule="auto"/>
      <w:ind w:right="-143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3263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customStyle="1" w:styleId="yiv3473832152msonormal">
    <w:name w:val="yiv3473832152msonormal"/>
    <w:basedOn w:val="Normal"/>
    <w:rsid w:val="005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yiv8087276861msonormal">
    <w:name w:val="yiv8087276861msonormal"/>
    <w:basedOn w:val="Normal"/>
    <w:rsid w:val="009D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style57">
    <w:name w:val="style57"/>
    <w:rsid w:val="00F60239"/>
  </w:style>
  <w:style w:type="paragraph" w:customStyle="1" w:styleId="style102">
    <w:name w:val="style102"/>
    <w:basedOn w:val="Normal"/>
    <w:rsid w:val="00F6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yiv7979774406msonormal">
    <w:name w:val="yiv7979774406msonormal"/>
    <w:basedOn w:val="Normal"/>
    <w:rsid w:val="00F3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rrafo">
    <w:name w:val="parrafo"/>
    <w:basedOn w:val="Normal"/>
    <w:rsid w:val="003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rrafo2">
    <w:name w:val="parrafo_2"/>
    <w:basedOn w:val="Normal"/>
    <w:rsid w:val="003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907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643">
                      <w:marLeft w:val="0"/>
                      <w:marRight w:val="3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368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757">
                      <w:marLeft w:val="0"/>
                      <w:marRight w:val="3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703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7629">
                      <w:marLeft w:val="0"/>
                      <w:marRight w:val="3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</dc:creator>
  <cp:lastModifiedBy>MªAmtonia</cp:lastModifiedBy>
  <cp:revision>2</cp:revision>
  <dcterms:created xsi:type="dcterms:W3CDTF">2015-10-14T13:45:00Z</dcterms:created>
  <dcterms:modified xsi:type="dcterms:W3CDTF">2015-10-14T13:45:00Z</dcterms:modified>
</cp:coreProperties>
</file>